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CF1B" w14:textId="77777777" w:rsidR="00DB1C0D" w:rsidRPr="00A86EA3" w:rsidRDefault="00DB1C0D" w:rsidP="00A86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B1C0D" w:rsidRPr="00A86EA3" w14:paraId="30785A7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87314D4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FreeSerif" w:hAnsiTheme="minorHAnsi" w:cstheme="minorHAnsi"/>
                <w:noProof/>
                <w:color w:val="666666"/>
                <w:sz w:val="24"/>
                <w:szCs w:val="24"/>
              </w:rPr>
              <w:drawing>
                <wp:inline distT="0" distB="0" distL="0" distR="0" wp14:anchorId="7B5DFF7F" wp14:editId="601F9B87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41F2D093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1B385CCA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smallCaps/>
                <w:color w:val="666666"/>
                <w:sz w:val="24"/>
                <w:szCs w:val="24"/>
              </w:rPr>
            </w:pPr>
            <w:r w:rsidRPr="00A86EA3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24"/>
                <w:szCs w:val="24"/>
              </w:rPr>
              <w:drawing>
                <wp:inline distT="0" distB="0" distL="0" distR="0" wp14:anchorId="379E7591" wp14:editId="55110840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4C6C80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smallCaps/>
                <w:color w:val="666666"/>
                <w:sz w:val="24"/>
                <w:szCs w:val="24"/>
              </w:rPr>
            </w:pPr>
          </w:p>
          <w:p w14:paraId="7AEB5066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24"/>
                <w:szCs w:val="24"/>
              </w:rPr>
              <w:drawing>
                <wp:inline distT="0" distB="0" distL="0" distR="0" wp14:anchorId="09767185" wp14:editId="1FEDAEDF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C0D" w:rsidRPr="00A86EA3" w14:paraId="1AB3F707" w14:textId="77777777">
        <w:tc>
          <w:tcPr>
            <w:tcW w:w="115" w:type="dxa"/>
            <w:shd w:val="clear" w:color="auto" w:fill="auto"/>
          </w:tcPr>
          <w:p w14:paraId="143308A8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4DFD9D2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Arial" w:hAnsiTheme="minorHAnsi" w:cstheme="minorHAnsi"/>
                <w:i/>
                <w:color w:val="666666"/>
                <w:sz w:val="24"/>
                <w:szCs w:val="24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DB1C0D" w:rsidRPr="00A86EA3" w14:paraId="4BDAA09F" w14:textId="77777777">
        <w:tc>
          <w:tcPr>
            <w:tcW w:w="115" w:type="dxa"/>
            <w:shd w:val="clear" w:color="auto" w:fill="auto"/>
          </w:tcPr>
          <w:p w14:paraId="051881B1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83414FB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115A512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e-mail: </w:t>
            </w:r>
            <w:r w:rsidRPr="00A86EA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66A6CBE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PEC: </w:t>
            </w:r>
            <w:r w:rsidRPr="00A86EA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piis003007@pec.istruzione.it</w:t>
            </w:r>
          </w:p>
        </w:tc>
      </w:tr>
    </w:tbl>
    <w:p w14:paraId="1D50C74F" w14:textId="77777777" w:rsidR="00DB1C0D" w:rsidRPr="00A86EA3" w:rsidRDefault="00DB1C0D" w:rsidP="00A86E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FAE97B" w14:textId="11EC8D3E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A86EA3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PIANO DI LAVORO ANNUALE DEL DOCENTE A.S. 20</w:t>
      </w:r>
      <w:r w:rsidRPr="00A86EA3"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="00E73158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Pr="00A86EA3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/2</w:t>
      </w:r>
      <w:r w:rsidR="00E73158">
        <w:rPr>
          <w:rFonts w:asciiTheme="minorHAnsi" w:eastAsia="Calibri" w:hAnsiTheme="minorHAnsi" w:cstheme="minorHAnsi"/>
          <w:b/>
          <w:sz w:val="24"/>
          <w:szCs w:val="24"/>
        </w:rPr>
        <w:t>5</w:t>
      </w:r>
    </w:p>
    <w:p w14:paraId="3ADBEDF9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2453E94" w14:textId="77777777" w:rsidR="00DB1C0D" w:rsidRPr="00A86EA3" w:rsidRDefault="00DB1C0D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eading=h.4muz54wz7ni7" w:colFirst="0" w:colLast="0"/>
      <w:bookmarkEnd w:id="1"/>
    </w:p>
    <w:p w14:paraId="557E746E" w14:textId="66BD7F91" w:rsidR="00DB1C0D" w:rsidRPr="00A86EA3" w:rsidRDefault="00000000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2" w:name="_heading=h.1i4gvvmky6lf" w:colFirst="0" w:colLast="0"/>
      <w:bookmarkEnd w:id="2"/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Nome e cognome 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A86EA3">
        <w:rPr>
          <w:rFonts w:asciiTheme="minorHAnsi" w:eastAsia="Calibri" w:hAnsiTheme="minorHAnsi" w:cstheme="minorHAnsi"/>
          <w:b/>
          <w:sz w:val="24"/>
          <w:szCs w:val="24"/>
        </w:rPr>
        <w:t>ella docente</w:t>
      </w:r>
      <w:r w:rsidRPr="00A86EA3">
        <w:rPr>
          <w:rFonts w:asciiTheme="minorHAnsi" w:eastAsia="Calibri" w:hAnsiTheme="minorHAnsi" w:cstheme="minorHAnsi"/>
          <w:sz w:val="24"/>
          <w:szCs w:val="24"/>
        </w:rPr>
        <w:t>:</w:t>
      </w:r>
      <w:r w:rsidR="008025F0" w:rsidRPr="00A86EA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73158">
        <w:rPr>
          <w:rFonts w:asciiTheme="minorHAnsi" w:eastAsia="Calibri" w:hAnsiTheme="minorHAnsi" w:cstheme="minorHAnsi"/>
          <w:sz w:val="24"/>
          <w:szCs w:val="24"/>
        </w:rPr>
        <w:t>Torchia Claudia</w:t>
      </w:r>
    </w:p>
    <w:p w14:paraId="6F45706E" w14:textId="77777777" w:rsidR="00DB1C0D" w:rsidRPr="00A86EA3" w:rsidRDefault="00DB1C0D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3" w:name="_heading=h.jrsf0v17y9up" w:colFirst="0" w:colLast="0"/>
      <w:bookmarkEnd w:id="3"/>
    </w:p>
    <w:p w14:paraId="55F72F4F" w14:textId="2FB1F0CE" w:rsidR="00DB1C0D" w:rsidRPr="00A86EA3" w:rsidRDefault="00000000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4" w:name="_heading=h.l4ln8tk5f5mi" w:colFirst="0" w:colLast="0"/>
      <w:bookmarkEnd w:id="4"/>
      <w:r w:rsidRPr="00A86EA3">
        <w:rPr>
          <w:rFonts w:asciiTheme="minorHAnsi" w:eastAsia="Calibri" w:hAnsiTheme="minorHAnsi" w:cstheme="minorHAnsi"/>
          <w:b/>
          <w:sz w:val="24"/>
          <w:szCs w:val="24"/>
        </w:rPr>
        <w:t>Disciplina insegnata</w:t>
      </w: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8025F0" w:rsidRPr="00A86EA3">
        <w:rPr>
          <w:rFonts w:asciiTheme="minorHAnsi" w:eastAsia="Calibri" w:hAnsiTheme="minorHAnsi" w:cstheme="minorHAnsi"/>
          <w:sz w:val="24"/>
          <w:szCs w:val="24"/>
        </w:rPr>
        <w:t>Diritto</w:t>
      </w:r>
    </w:p>
    <w:p w14:paraId="06DED394" w14:textId="77777777" w:rsidR="00DB1C0D" w:rsidRPr="00A86EA3" w:rsidRDefault="00DB1C0D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5" w:name="_heading=h.kz53r8dcjmbb" w:colFirst="0" w:colLast="0"/>
      <w:bookmarkEnd w:id="5"/>
    </w:p>
    <w:p w14:paraId="5F4DA8BA" w14:textId="77777777" w:rsidR="008025F0" w:rsidRPr="00A86EA3" w:rsidRDefault="0000000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Libro/i di testo in uso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025F0" w:rsidRPr="00A86EA3">
        <w:rPr>
          <w:rFonts w:asciiTheme="minorHAnsi" w:eastAsia="Calibri" w:hAnsiTheme="minorHAnsi" w:cstheme="minorHAnsi"/>
          <w:bCs/>
          <w:sz w:val="24"/>
          <w:szCs w:val="24"/>
        </w:rPr>
        <w:t>Diritto e economia, tra mondo reale e mondo digitale, vol. 2 – di M. razzoli, editore CLITT Zanichelli</w:t>
      </w:r>
    </w:p>
    <w:p w14:paraId="414ED7D0" w14:textId="6EB84D7B" w:rsidR="008025F0" w:rsidRPr="00A86EA3" w:rsidRDefault="008025F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Dal momento che il testo adottato tratta un programma </w:t>
      </w:r>
      <w:r w:rsidR="00C0266D">
        <w:rPr>
          <w:rFonts w:asciiTheme="minorHAnsi" w:eastAsia="Calibri" w:hAnsiTheme="minorHAnsi" w:cstheme="minorHAnsi"/>
          <w:bCs/>
          <w:sz w:val="24"/>
          <w:szCs w:val="24"/>
        </w:rPr>
        <w:t xml:space="preserve">non del tutto 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conforme a quello indicato dalla Regione, si è </w:t>
      </w:r>
      <w:r w:rsidR="00C0266D">
        <w:rPr>
          <w:rFonts w:asciiTheme="minorHAnsi" w:eastAsia="Calibri" w:hAnsiTheme="minorHAnsi" w:cstheme="minorHAnsi"/>
          <w:bCs/>
          <w:sz w:val="24"/>
          <w:szCs w:val="24"/>
        </w:rPr>
        <w:t xml:space="preserve">provvisoriamente 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>pro</w:t>
      </w:r>
      <w:r w:rsidR="00C0266D">
        <w:rPr>
          <w:rFonts w:asciiTheme="minorHAnsi" w:eastAsia="Calibri" w:hAnsiTheme="minorHAnsi" w:cstheme="minorHAnsi"/>
          <w:bCs/>
          <w:sz w:val="24"/>
          <w:szCs w:val="24"/>
        </w:rPr>
        <w:t>vveduto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 ad affiancarlo con l’utilizzo di 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 xml:space="preserve">stralci di 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>un manuale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 precedentemente in uso nella stessa 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>cuola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 “Le basi di diritto e economia nell’organizzazione del lavoro” di AA.VV. editrice San Marco. 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Ci si riserva di produrre eventualmente, altro materiale integrativo.</w:t>
      </w:r>
    </w:p>
    <w:p w14:paraId="75EB7AD3" w14:textId="77777777" w:rsidR="00DB1C0D" w:rsidRPr="00A86EA3" w:rsidRDefault="00DB1C0D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5D3E8AF" w14:textId="0DA09AE2" w:rsidR="00DB1C0D" w:rsidRPr="00A86EA3" w:rsidRDefault="0000000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Classe e Sezione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025F0"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2^ </w:t>
      </w:r>
      <w:r w:rsidR="00CB37FC">
        <w:rPr>
          <w:rFonts w:asciiTheme="minorHAnsi" w:eastAsia="Calibri" w:hAnsiTheme="minorHAnsi" w:cstheme="minorHAnsi"/>
          <w:bCs/>
          <w:sz w:val="24"/>
          <w:szCs w:val="24"/>
        </w:rPr>
        <w:t>P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0D92817B" w14:textId="77777777" w:rsidR="00DB1C0D" w:rsidRPr="00A86EA3" w:rsidRDefault="00DB1C0D" w:rsidP="00A86EA3">
      <w:pPr>
        <w:keepNext/>
        <w:tabs>
          <w:tab w:val="left" w:pos="70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87E017B" w14:textId="52CA3048" w:rsidR="00DB1C0D" w:rsidRPr="00A86EA3" w:rsidRDefault="0000000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Indirizzo di studio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025F0" w:rsidRPr="00A86EA3">
        <w:rPr>
          <w:rFonts w:asciiTheme="minorHAnsi" w:eastAsia="Calibri" w:hAnsiTheme="minorHAnsi" w:cstheme="minorHAnsi"/>
          <w:bCs/>
          <w:sz w:val="24"/>
          <w:szCs w:val="24"/>
        </w:rPr>
        <w:t>Operatore del benessere</w:t>
      </w:r>
    </w:p>
    <w:p w14:paraId="4D40FBAD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103F5B0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1. Competenze che si intendono sviluppare o traguardi di competenza</w:t>
      </w:r>
    </w:p>
    <w:p w14:paraId="1FF5329D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(fare riferimento alle Linee Guida e ai documenti dei dipartimenti)</w:t>
      </w:r>
    </w:p>
    <w:p w14:paraId="0CAE6675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Tali competenze e obiettivi sono stati individuati tenendo conto delle generali finalità educative e formative del nostro Istituto e delle decisioni dei Dipartimenti, dopo una attenta valutazione della situazione di partenza della classe e in continuità con il lavoro degli anni precedenti. Il C.d.C. ritiene che gli studenti debbano acquisire le competenze chiave di cittadinanza europee.</w:t>
      </w:r>
    </w:p>
    <w:p w14:paraId="199D500D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Le competenze saranno articolate facendo riferimento agli obiettivi relativi ai principali assi culturali.</w:t>
      </w:r>
    </w:p>
    <w:p w14:paraId="4314C961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relazionali e comportamentali </w:t>
      </w:r>
    </w:p>
    <w:p w14:paraId="0F7E7318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Ogni alunno deve agire in maniera responsabile e corretta nei confronti dello studio, del gruppo classe, dei docenti, nonché delle strutture scolastiche attraverso:</w:t>
      </w:r>
    </w:p>
    <w:p w14:paraId="011225EE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 una partecipazione attiva</w:t>
      </w:r>
      <w:r w:rsidRPr="00A86EA3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al dialogo educativo, nel rispetto delle proprie idee e di quelle altrui; </w:t>
      </w:r>
    </w:p>
    <w:p w14:paraId="3045D681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una partecipazione responsabile alle attività scolastiche, dimostrando di saper lavorare in gruppo, stimolando e contemporaneamente valorizzando il contributo di ciascuno; imparando ad accettare e a confrontarsi con la diversità e a gestire le eventuali conflittualità;</w:t>
      </w:r>
    </w:p>
    <w:p w14:paraId="0242F1CD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lo sviluppo dell’interesse e il potenziamento della partecipazione al processo educativo;</w:t>
      </w:r>
    </w:p>
    <w:p w14:paraId="5D4309C5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 lo sviluppo di un’autonomia operativa nell’ambito delle varie discipline.</w:t>
      </w:r>
    </w:p>
    <w:p w14:paraId="6FDAA6EA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2425E16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>Ogni alunno deve essere educato al rispetto delle regole, sviluppare la capacità di autocontrollo e di interiorizzazione delle regole e delle norme del vivere civile. Deve sviluppare la consapevolezza delle responsabilità personali nell’agire.</w:t>
      </w:r>
    </w:p>
    <w:p w14:paraId="37204E3B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cognitivi</w:t>
      </w:r>
    </w:p>
    <w:p w14:paraId="6D65F7E9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sz w:val="24"/>
          <w:szCs w:val="24"/>
          <w:lang w:eastAsia="it-IT"/>
        </w:rPr>
        <w:br/>
      </w:r>
    </w:p>
    <w:p w14:paraId="7BE4949C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Utilizzare un metodo di studio efficace.</w:t>
      </w:r>
    </w:p>
    <w:p w14:paraId="0B262554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Comprendere messaggi verbali e scritti, anche in inglese.</w:t>
      </w:r>
    </w:p>
    <w:p w14:paraId="5172B658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Sapere organizzare il lavoro in tempi prefissati.</w:t>
      </w:r>
    </w:p>
    <w:p w14:paraId="38CA3BF7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Applicare in tutti i contesti lavorativi le tecniche e le metodologie apprese.</w:t>
      </w:r>
    </w:p>
    <w:p w14:paraId="416B3F15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Individuare collegamenti e relazioni tra fenomeni e concetti diversi, anche in ambiti disciplinari differenti.</w:t>
      </w:r>
    </w:p>
    <w:p w14:paraId="4A5FE5FD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cercare di</w:t>
      </w:r>
      <w:r w:rsidRPr="00A86EA3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acquisire un linguaggio tecnico specifico delle singole discipline e migliorare le abilità espressive, sia in forma scritta che orale.</w:t>
      </w:r>
    </w:p>
    <w:p w14:paraId="5C070130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145066F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4014A4EB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(fare riferimento alle Linee Guida e ai documenti dei dipartimenti)</w:t>
      </w:r>
    </w:p>
    <w:p w14:paraId="7307A7FB" w14:textId="7C8A3AD0" w:rsidR="00DB1C0D" w:rsidRPr="00A86EA3" w:rsidRDefault="008025F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bCs/>
          <w:sz w:val="24"/>
          <w:szCs w:val="24"/>
        </w:rPr>
        <w:t>Titolo U.F. Ecaz. 2.1 e Dir. 2.1</w:t>
      </w:r>
    </w:p>
    <w:p w14:paraId="07C43582" w14:textId="45250A03" w:rsidR="00DB1C0D" w:rsidRPr="00C0266D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0266D">
        <w:rPr>
          <w:rFonts w:asciiTheme="minorHAnsi" w:eastAsia="Calibri" w:hAnsiTheme="minorHAnsi" w:cstheme="minorHAnsi"/>
          <w:b/>
          <w:sz w:val="24"/>
          <w:szCs w:val="24"/>
        </w:rPr>
        <w:t xml:space="preserve">Titolo attività di riferimento: </w:t>
      </w:r>
      <w:r w:rsidR="008025F0" w:rsidRPr="00C0266D">
        <w:rPr>
          <w:rFonts w:asciiTheme="minorHAnsi" w:eastAsia="Calibri" w:hAnsiTheme="minorHAnsi" w:cstheme="minorHAnsi"/>
          <w:b/>
          <w:sz w:val="24"/>
          <w:szCs w:val="24"/>
        </w:rPr>
        <w:t>L’azienda, la sua organizzazione, e le più comuni relazioni con l’esterno. Norm</w:t>
      </w:r>
      <w:r w:rsidR="004E4695" w:rsidRPr="00C0266D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="008025F0" w:rsidRPr="00C0266D">
        <w:rPr>
          <w:rFonts w:asciiTheme="minorHAnsi" w:eastAsia="Calibri" w:hAnsiTheme="minorHAnsi" w:cstheme="minorHAnsi"/>
          <w:b/>
          <w:sz w:val="24"/>
          <w:szCs w:val="24"/>
        </w:rPr>
        <w:t>tiva regionale di settore. Decreto 81/2008 (l’azienda) (Durata 22 ore)</w:t>
      </w:r>
    </w:p>
    <w:p w14:paraId="0D45704E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38B8BBC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69AF6C8E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Le imposte e le tasse</w:t>
      </w:r>
    </w:p>
    <w:p w14:paraId="4F167EAE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Il rapporto di lavoro dipendente: gli elementi costitutivi della busta paga.</w:t>
      </w:r>
    </w:p>
    <w:p w14:paraId="09CD6D21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L’organizzazione aziendale </w:t>
      </w:r>
    </w:p>
    <w:p w14:paraId="3FB796A9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La programmazione e le previsioni</w:t>
      </w:r>
    </w:p>
    <w:p w14:paraId="5EF9E251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Normativa regionale di settore</w:t>
      </w:r>
    </w:p>
    <w:p w14:paraId="3FDB4339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DLGS.30/06/2003 n.196 Codice in materia di protezione dei dati personali </w:t>
      </w:r>
    </w:p>
    <w:p w14:paraId="4B7CA79A" w14:textId="230D1CAD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I doveri professionali e i diritti del cliente: disposizioni che riguardano l’esercizio ed i limiti della professione di estetista</w:t>
      </w:r>
    </w:p>
    <w:p w14:paraId="50479F3B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836A5FA" w14:textId="19232F8E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sz w:val="24"/>
          <w:szCs w:val="24"/>
        </w:rPr>
        <w:t>Capacità</w:t>
      </w:r>
    </w:p>
    <w:p w14:paraId="4AD0D867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F67F2D6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L’IRPEF e L’IVA</w:t>
      </w:r>
    </w:p>
    <w:p w14:paraId="3719A3C5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Saper leggere una busta paga</w:t>
      </w:r>
    </w:p>
    <w:p w14:paraId="115DA218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Le funzioni aziendali</w:t>
      </w:r>
    </w:p>
    <w:p w14:paraId="7D8590E6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Il break even point</w:t>
      </w:r>
    </w:p>
    <w:p w14:paraId="21AA5EEE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Legge regionale e Regolamento attuativo</w:t>
      </w:r>
    </w:p>
    <w:p w14:paraId="056095D5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Titoli abilitativi e sanzioni</w:t>
      </w:r>
    </w:p>
    <w:p w14:paraId="4C1D2130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Disciplina in materia di privacy</w:t>
      </w:r>
    </w:p>
    <w:p w14:paraId="338A11EE" w14:textId="6560C2C6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Nozioni generali di deontologia professionale</w:t>
      </w:r>
    </w:p>
    <w:p w14:paraId="1A7A9AE0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9B465CA" w14:textId="21CEED84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Contenuti formativi</w:t>
      </w:r>
    </w:p>
    <w:p w14:paraId="38A4EB58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F61DFD7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Differenza tra imposte e tasse e le più comuni imposte. </w:t>
      </w:r>
    </w:p>
    <w:p w14:paraId="5EEAF81B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Gli elementi aggiuntivi della busta paga e le ritenute sociali e fiscali. </w:t>
      </w:r>
    </w:p>
    <w:p w14:paraId="7BCFC478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La funzione dell’INPS e dell’INAIL </w:t>
      </w:r>
    </w:p>
    <w:p w14:paraId="66386332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Le funzioni aziendali e il budget </w:t>
      </w:r>
    </w:p>
    <w:p w14:paraId="3BB7732B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La figura professionale dell’estetista e la sua regolamentazione normativa</w:t>
      </w:r>
    </w:p>
    <w:p w14:paraId="44BD6336" w14:textId="63FC3028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Codice in materia di protezione dei dati personali</w:t>
      </w:r>
    </w:p>
    <w:p w14:paraId="5FE0A0CF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093FABD" w14:textId="4386713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lastRenderedPageBreak/>
        <w:t>Percorso 2</w:t>
      </w:r>
      <w:r w:rsidR="004E4695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Titolo U.F. DIR. 2</w:t>
      </w:r>
    </w:p>
    <w:p w14:paraId="2927135C" w14:textId="6360BC97" w:rsidR="004E4695" w:rsidRPr="00C0266D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0266D">
        <w:rPr>
          <w:rFonts w:asciiTheme="minorHAnsi" w:eastAsia="Calibri" w:hAnsiTheme="minorHAnsi" w:cstheme="minorHAnsi"/>
          <w:b/>
          <w:sz w:val="24"/>
          <w:szCs w:val="24"/>
        </w:rPr>
        <w:t>Titolo attività di riferimento: responsabilità giuridiche in situazioni di emergenza</w:t>
      </w:r>
    </w:p>
    <w:p w14:paraId="7FFC5F0E" w14:textId="7D0C24ED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23A2496C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Conoscenze</w:t>
      </w:r>
    </w:p>
    <w:p w14:paraId="0FD79F5D" w14:textId="01BE890F" w:rsidR="00DB1C0D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Conoscere le diverse modalità di intervento in casi di emergenza: valutazione delle responsabilità giuridiche. Conoscere gli elementi base della sicurezza di area generale</w:t>
      </w:r>
    </w:p>
    <w:p w14:paraId="5E096F40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5A14B31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Capacità</w:t>
      </w:r>
    </w:p>
    <w:p w14:paraId="2AFDDA7F" w14:textId="72A8ED37" w:rsidR="00DB1C0D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Saper affrontare le situazioni di emergenza. Sapere le norme base sulla sicurezza di area generale</w:t>
      </w:r>
    </w:p>
    <w:p w14:paraId="39F16524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7461A3C" w14:textId="49EB82E9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Contenuti formativi</w:t>
      </w:r>
    </w:p>
    <w:p w14:paraId="67B3F15B" w14:textId="26EFE8F8" w:rsidR="00DB1C0D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Le diverse modalità di intervento in casi di emergenza: valutazione delle responsabilità giuridiche.</w:t>
      </w:r>
    </w:p>
    <w:p w14:paraId="2FF492B3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D3F2B3D" w14:textId="77777777" w:rsidR="00DB1C0D" w:rsidRPr="00BF1189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3. Attività o percorsi didattici concordati nel CdC a livello interdisciplinare </w:t>
      </w:r>
      <w:r w:rsidRPr="00E73158">
        <w:rPr>
          <w:rFonts w:asciiTheme="minorHAnsi" w:eastAsia="Calibri" w:hAnsiTheme="minorHAnsi" w:cstheme="minorHAnsi"/>
          <w:b/>
          <w:sz w:val="24"/>
          <w:szCs w:val="24"/>
        </w:rPr>
        <w:t>- Educazione civica</w:t>
      </w:r>
    </w:p>
    <w:p w14:paraId="7B6AB4AC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(descrizione di conoscenze, abilità e competenze che si intendono raggiungere o sviluppare)</w:t>
      </w:r>
    </w:p>
    <w:p w14:paraId="47A231E1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AB5F199" w14:textId="101CC09F" w:rsidR="00C75918" w:rsidRDefault="00C75918" w:rsidP="00C75918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</w:pPr>
      <w:bookmarkStart w:id="6" w:name="_Hlk152267828"/>
      <w:r w:rsidRPr="00C75918">
        <w:rPr>
          <w:rFonts w:ascii="Calibri" w:eastAsia="Calibri" w:hAnsi="Calibri"/>
          <w:sz w:val="24"/>
          <w:szCs w:val="24"/>
          <w:highlight w:val="lightGray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highlight w:val="lightGray"/>
          <w:lang w:eastAsia="en-US"/>
        </w:rPr>
        <w:t>Area</w:t>
      </w:r>
      <w:r>
        <w:rPr>
          <w:rFonts w:ascii="Calibri" w:eastAsia="Calibri" w:hAnsi="Calibri"/>
          <w:spacing w:val="-4"/>
          <w:sz w:val="24"/>
          <w:szCs w:val="24"/>
          <w:highlight w:val="lightGray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highlight w:val="lightGray"/>
          <w:lang w:eastAsia="en-US"/>
        </w:rPr>
        <w:t>:</w:t>
      </w:r>
      <w:r>
        <w:rPr>
          <w:rFonts w:ascii="Calibri" w:eastAsia="Calibri" w:hAnsi="Calibri"/>
          <w:spacing w:val="-2"/>
          <w:sz w:val="24"/>
          <w:szCs w:val="24"/>
          <w:highlight w:val="lightGray"/>
          <w:lang w:eastAsia="en-US"/>
        </w:rPr>
        <w:t xml:space="preserve"> </w:t>
      </w:r>
      <w:r>
        <w:rPr>
          <w:rFonts w:ascii="Calibri" w:eastAsia="Calibri" w:hAnsi="Calibri"/>
          <w:spacing w:val="-2"/>
          <w:sz w:val="24"/>
          <w:szCs w:val="24"/>
          <w:highlight w:val="lightGray"/>
          <w:u w:val="single"/>
          <w:lang w:eastAsia="en-US"/>
        </w:rPr>
        <w:t>Cittadinanza Digitale</w:t>
      </w:r>
    </w:p>
    <w:p w14:paraId="01023B79" w14:textId="24131211" w:rsidR="00C75918" w:rsidRDefault="00C75918" w:rsidP="00C75918">
      <w:pPr>
        <w:widowControl w:val="0"/>
        <w:suppressAutoHyphens w:val="0"/>
        <w:autoSpaceDE w:val="0"/>
        <w:autoSpaceDN w:val="0"/>
        <w:ind w:left="113" w:right="6499"/>
        <w:rPr>
          <w:rFonts w:ascii="Calibri" w:eastAsia="Calibri" w:hAnsi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Tema</w:t>
      </w:r>
      <w:r>
        <w:rPr>
          <w:rFonts w:ascii="Calibri" w:eastAsia="Calibri" w:hAnsi="Calibri"/>
          <w:spacing w:val="-14"/>
          <w:sz w:val="24"/>
          <w:szCs w:val="24"/>
          <w:highlight w:val="lightGray"/>
          <w:u w:val="single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:</w:t>
      </w:r>
      <w:r>
        <w:rPr>
          <w:rFonts w:ascii="Calibri" w:eastAsia="Calibri" w:hAnsi="Calibri"/>
          <w:spacing w:val="-14"/>
          <w:sz w:val="24"/>
          <w:szCs w:val="24"/>
          <w:highlight w:val="lightGray"/>
          <w:u w:val="single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 xml:space="preserve">La reputazione on-line Durata : </w:t>
      </w:r>
      <w:r w:rsidR="00532C7C"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2</w:t>
      </w:r>
      <w:r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 xml:space="preserve"> ore</w:t>
      </w:r>
    </w:p>
    <w:p w14:paraId="4DB04FF9" w14:textId="77777777" w:rsidR="00C75918" w:rsidRDefault="00C75918" w:rsidP="00C75918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Periodo</w:t>
      </w:r>
      <w:r>
        <w:rPr>
          <w:rFonts w:ascii="Calibri" w:eastAsia="Calibri" w:hAnsi="Calibri"/>
          <w:spacing w:val="-4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di</w:t>
      </w:r>
      <w:r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svolgimento:</w:t>
      </w:r>
      <w:r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1</w:t>
      </w:r>
      <w:r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pacing w:val="-2"/>
          <w:sz w:val="24"/>
          <w:szCs w:val="24"/>
          <w:lang w:eastAsia="en-US"/>
        </w:rPr>
        <w:t>quadrimestre</w:t>
      </w:r>
    </w:p>
    <w:p w14:paraId="1C0A5DDD" w14:textId="38573229" w:rsidR="0048161B" w:rsidRPr="005F3F23" w:rsidRDefault="0048161B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La disciplina è soggetta a valutazioni e concorre alla determinazione collegiale del voto di comportamento.</w:t>
      </w:r>
      <w:r w:rsidR="00C759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>Per</w:t>
      </w:r>
      <w:r w:rsidR="00C759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>le verifiche di Educazione civica si utilizzano modalità variegate di restituzione ed elaborazione con obiettivo la valorizzazione delle capacità degli studenti: prove scritte, orali, pratiche, di gruppo.</w:t>
      </w:r>
      <w:r w:rsidR="00C759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>I criteri di valutazione esplicitati nel PTOF sono integrati dai seguenti: partecipazione alle attività; rispetto degli impegni; senso di responsabilità nell’affrontare eventuali difficoltà, nello svolgere lavori cooperativi e di gruppo; qualità degli elaborati prodotti e capacità di esporli.</w:t>
      </w:r>
    </w:p>
    <w:p w14:paraId="54BF96CA" w14:textId="77777777" w:rsidR="0048161B" w:rsidRPr="005F3F23" w:rsidRDefault="0048161B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6738834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4. Tipologie di verifica, elaborati ed esercitazioni </w:t>
      </w:r>
    </w:p>
    <w:p w14:paraId="393CEF0F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A3C798F" w14:textId="163EF34C" w:rsidR="009630C9" w:rsidRPr="00A86EA3" w:rsidRDefault="009630C9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Verifiche formative: test, domande dal posto, correzione dei compiti assegnati a casa, esercizi in classe. Verifiche sommative: prove scritte e orali </w:t>
      </w:r>
      <w:r w:rsidR="00DB32E6">
        <w:rPr>
          <w:rFonts w:asciiTheme="minorHAnsi" w:hAnsiTheme="minorHAnsi" w:cstheme="minorHAnsi"/>
          <w:sz w:val="24"/>
          <w:szCs w:val="24"/>
        </w:rPr>
        <w:t xml:space="preserve">, </w:t>
      </w:r>
      <w:r w:rsidRPr="00A86EA3">
        <w:rPr>
          <w:rFonts w:asciiTheme="minorHAnsi" w:hAnsiTheme="minorHAnsi" w:cstheme="minorHAnsi"/>
          <w:sz w:val="24"/>
          <w:szCs w:val="24"/>
        </w:rPr>
        <w:t>strutturate e semistrutturate.</w:t>
      </w:r>
    </w:p>
    <w:p w14:paraId="6AC2CDFE" w14:textId="4CD39426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26AFD11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5. Criteri per le valutazioni</w:t>
      </w: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D7B498C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 w14:paraId="64DF448F" w14:textId="4B9C8195" w:rsidR="00735695" w:rsidRPr="00A86EA3" w:rsidRDefault="00735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Per le valutazioni ci si attiene ai criteri indicati nel PTOF e si tiene conto dei descrittori relativi a comprensione, conoscenza, capacità acquisite, correttezza terminologica.</w:t>
      </w:r>
    </w:p>
    <w:p w14:paraId="1EDA07E1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6D0307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6. Metodi e strategie didattiche </w:t>
      </w:r>
    </w:p>
    <w:p w14:paraId="4A19F78A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777C8471" w14:textId="02FA1C12" w:rsidR="00DB1C0D" w:rsidRDefault="00735695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Lezione frontale e dialogata con predisposizione eventuale di mappe per facilitare l'apprendimento. Potranno essere utilizzati: cooperative learning, peer tutoring, flipper classroom. Durante le ore di laboratorio verranno visti filmati di approfondimento.</w:t>
      </w:r>
      <w:bookmarkEnd w:id="6"/>
    </w:p>
    <w:p w14:paraId="18880422" w14:textId="77777777" w:rsidR="0048161B" w:rsidRPr="00A86EA3" w:rsidRDefault="0048161B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EF1CAD3" w14:textId="77777777" w:rsidR="00DB1C0D" w:rsidRPr="00A86EA3" w:rsidRDefault="00DB1C0D" w:rsidP="00A86EA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CFEF086" w14:textId="07DC0930" w:rsidR="00DB1C0D" w:rsidRDefault="00000000" w:rsidP="00A86EA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Pisa li </w:t>
      </w:r>
      <w:r w:rsidR="004F0CA5">
        <w:rPr>
          <w:rFonts w:asciiTheme="minorHAnsi" w:eastAsia="Calibri" w:hAnsiTheme="minorHAnsi" w:cstheme="minorHAnsi"/>
          <w:sz w:val="24"/>
          <w:szCs w:val="24"/>
        </w:rPr>
        <w:t>18</w:t>
      </w:r>
      <w:r w:rsidR="00C0266D">
        <w:rPr>
          <w:rFonts w:asciiTheme="minorHAnsi" w:eastAsia="Calibri" w:hAnsiTheme="minorHAnsi" w:cstheme="minorHAnsi"/>
          <w:sz w:val="24"/>
          <w:szCs w:val="24"/>
        </w:rPr>
        <w:t xml:space="preserve"> novembre 202</w:t>
      </w:r>
      <w:r w:rsidR="004F0CA5">
        <w:rPr>
          <w:rFonts w:asciiTheme="minorHAnsi" w:eastAsia="Calibri" w:hAnsiTheme="minorHAnsi" w:cstheme="minorHAnsi"/>
          <w:sz w:val="24"/>
          <w:szCs w:val="24"/>
        </w:rPr>
        <w:t>4</w:t>
      </w: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</w:t>
      </w:r>
      <w:r w:rsidR="004F0CA5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</w:t>
      </w:r>
      <w:r w:rsidR="00C0266D">
        <w:rPr>
          <w:rFonts w:asciiTheme="minorHAnsi" w:eastAsia="Calibri" w:hAnsiTheme="minorHAnsi" w:cstheme="minorHAnsi"/>
          <w:sz w:val="24"/>
          <w:szCs w:val="24"/>
        </w:rPr>
        <w:t>L</w:t>
      </w:r>
      <w:r w:rsidRPr="00A86EA3">
        <w:rPr>
          <w:rFonts w:asciiTheme="minorHAnsi" w:eastAsia="Calibri" w:hAnsiTheme="minorHAnsi" w:cstheme="minorHAnsi"/>
          <w:sz w:val="24"/>
          <w:szCs w:val="24"/>
        </w:rPr>
        <w:t>a docente</w:t>
      </w:r>
    </w:p>
    <w:p w14:paraId="3D92462F" w14:textId="1BEFDD82" w:rsidR="004F0CA5" w:rsidRPr="00A86EA3" w:rsidRDefault="004F0CA5" w:rsidP="00A86EA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Prof.ssa Torchia Claudia</w:t>
      </w:r>
    </w:p>
    <w:sectPr w:rsidR="004F0CA5" w:rsidRPr="00A86EA3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panose1 w:val="020B06060202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40955"/>
    <w:multiLevelType w:val="multilevel"/>
    <w:tmpl w:val="4C1A0D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6911E5"/>
    <w:multiLevelType w:val="multilevel"/>
    <w:tmpl w:val="3FC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C0689"/>
    <w:multiLevelType w:val="multilevel"/>
    <w:tmpl w:val="CA5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606638">
    <w:abstractNumId w:val="0"/>
  </w:num>
  <w:num w:numId="2" w16cid:durableId="830753234">
    <w:abstractNumId w:val="2"/>
  </w:num>
  <w:num w:numId="3" w16cid:durableId="41478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0D"/>
    <w:rsid w:val="000D412F"/>
    <w:rsid w:val="0048161B"/>
    <w:rsid w:val="004E237C"/>
    <w:rsid w:val="004E4695"/>
    <w:rsid w:val="004F0CA5"/>
    <w:rsid w:val="00532C7C"/>
    <w:rsid w:val="0061737F"/>
    <w:rsid w:val="00735695"/>
    <w:rsid w:val="007F34C7"/>
    <w:rsid w:val="008025F0"/>
    <w:rsid w:val="008124C9"/>
    <w:rsid w:val="008F5F27"/>
    <w:rsid w:val="009630C9"/>
    <w:rsid w:val="00A6308E"/>
    <w:rsid w:val="00A86EA3"/>
    <w:rsid w:val="00AA1ED7"/>
    <w:rsid w:val="00AE7B65"/>
    <w:rsid w:val="00BF1189"/>
    <w:rsid w:val="00C0266D"/>
    <w:rsid w:val="00C75918"/>
    <w:rsid w:val="00CB37FC"/>
    <w:rsid w:val="00DB1C0D"/>
    <w:rsid w:val="00DB32E6"/>
    <w:rsid w:val="00E73158"/>
    <w:rsid w:val="00F21369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1327"/>
  <w15:docId w15:val="{75EA3B97-DBCA-47E8-A57C-CB1FE6B8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Claudia Torchia</cp:lastModifiedBy>
  <cp:revision>9</cp:revision>
  <dcterms:created xsi:type="dcterms:W3CDTF">2024-11-04T08:59:00Z</dcterms:created>
  <dcterms:modified xsi:type="dcterms:W3CDTF">2024-11-18T11:26:00Z</dcterms:modified>
</cp:coreProperties>
</file>